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6EA867" w14:textId="77777777" w:rsidR="00C87B61" w:rsidRDefault="00C87B61">
      <w:pPr>
        <w:pStyle w:val="ArticleLevel6"/>
      </w:pPr>
    </w:p>
    <w:p w14:paraId="243F2C52" w14:textId="77777777" w:rsidR="00C87B61" w:rsidRDefault="00580A78">
      <w:pPr>
        <w:pStyle w:val="Kop2"/>
        <w:spacing w:before="199" w:after="199" w:line="240" w:lineRule="auto"/>
      </w:pPr>
      <w:r>
        <w:t>CONCEPTOVEREENKOMST</w:t>
      </w:r>
    </w:p>
    <w:p w14:paraId="26940268" w14:textId="77777777" w:rsidR="00C87B61" w:rsidRDefault="00580A78">
      <w:pPr>
        <w:spacing w:before="239" w:after="239" w:line="240" w:lineRule="auto"/>
        <w:textAlignment w:val="top"/>
      </w:pPr>
      <w:r>
        <w:rPr>
          <w:rFonts w:eastAsia="Calibri" w:cs="Calibri"/>
          <w:b/>
          <w:bCs/>
        </w:rPr>
        <w:t>Ondergetekenden</w:t>
      </w:r>
    </w:p>
    <w:p w14:paraId="172D279A" w14:textId="77777777" w:rsidR="00C87B61" w:rsidRDefault="00580A78">
      <w:pPr>
        <w:numPr>
          <w:ilvl w:val="0"/>
          <w:numId w:val="1"/>
        </w:numPr>
        <w:spacing w:line="240" w:lineRule="auto"/>
        <w:rPr>
          <w:rFonts w:ascii="Calibri" w:eastAsia="Calibri" w:hAnsi="Calibri" w:cs="Calibri"/>
        </w:rPr>
      </w:pPr>
      <w:r>
        <w:rPr>
          <w:rFonts w:eastAsia="Calibri" w:cs="Calibri"/>
        </w:rPr>
        <w:t>De publiekrechtelijke rechtspersoon Gemeente Midden Drenthe, te dezen rechtsgeldig vertegenwoordigd door nader te bepalen, hierna te noemen "</w:t>
      </w:r>
      <w:r>
        <w:rPr>
          <w:rFonts w:eastAsia="Calibri" w:cs="Calibri"/>
          <w:b/>
          <w:bCs/>
        </w:rPr>
        <w:t>Opdrachtgever</w:t>
      </w:r>
      <w:r>
        <w:rPr>
          <w:rFonts w:eastAsia="Calibri" w:cs="Calibri"/>
        </w:rPr>
        <w:t>";</w:t>
      </w:r>
    </w:p>
    <w:p w14:paraId="3A54EDED" w14:textId="77777777" w:rsidR="00C87B61" w:rsidRDefault="00580A78">
      <w:pPr>
        <w:spacing w:before="239" w:after="239" w:line="240" w:lineRule="auto"/>
        <w:textAlignment w:val="top"/>
      </w:pPr>
      <w:r>
        <w:rPr>
          <w:rFonts w:eastAsia="Calibri" w:cs="Calibri"/>
          <w:i/>
          <w:iCs/>
        </w:rPr>
        <w:t>en</w:t>
      </w:r>
    </w:p>
    <w:p w14:paraId="673872AA" w14:textId="77777777" w:rsidR="00C87B61" w:rsidRDefault="00580A78">
      <w:pPr>
        <w:numPr>
          <w:ilvl w:val="0"/>
          <w:numId w:val="1"/>
        </w:numPr>
        <w:spacing w:line="240" w:lineRule="auto"/>
        <w:rPr>
          <w:rFonts w:ascii="Calibri" w:eastAsia="Calibri" w:hAnsi="Calibri" w:cs="Calibri"/>
        </w:rPr>
      </w:pPr>
      <w:r>
        <w:rPr>
          <w:rFonts w:eastAsia="Calibri" w:cs="Calibri"/>
        </w:rPr>
        <w:t>("NAAM_HIER") gevestigd en kantoorhoudende te ("PLAATS_HIER") aan de ("ADRES_HIER") ("POSTCODE_HIER"), te dezen rechtsgeldig vertegenwoordigd door , hierna te noemen "</w:t>
      </w:r>
      <w:r>
        <w:rPr>
          <w:rFonts w:eastAsia="Calibri" w:cs="Calibri"/>
          <w:b/>
          <w:bCs/>
        </w:rPr>
        <w:t>Leverancier</w:t>
      </w:r>
      <w:r>
        <w:rPr>
          <w:rFonts w:eastAsia="Calibri" w:cs="Calibri"/>
        </w:rPr>
        <w:t>";</w:t>
      </w:r>
    </w:p>
    <w:p w14:paraId="7B93CE3A" w14:textId="77777777" w:rsidR="00C87B61" w:rsidRDefault="00580A78">
      <w:pPr>
        <w:spacing w:before="239" w:after="239" w:line="240" w:lineRule="auto"/>
        <w:textAlignment w:val="top"/>
      </w:pPr>
      <w:r>
        <w:rPr>
          <w:rFonts w:eastAsia="Calibri" w:cs="Calibri"/>
          <w:i/>
          <w:iCs/>
        </w:rPr>
        <w:t>tezamen hierna verder aan te duiden als "partijen" dan wel afzonderlijk als "partij",</w:t>
      </w:r>
    </w:p>
    <w:p w14:paraId="705B8B8A" w14:textId="77777777" w:rsidR="00C87B61" w:rsidRDefault="00580A78">
      <w:pPr>
        <w:spacing w:before="239" w:after="239" w:line="240" w:lineRule="auto"/>
        <w:textAlignment w:val="top"/>
      </w:pPr>
      <w:r>
        <w:rPr>
          <w:rFonts w:eastAsia="Calibri" w:cs="Calibri"/>
          <w:b/>
          <w:bCs/>
        </w:rPr>
        <w:t>overwegende dat:</w:t>
      </w:r>
    </w:p>
    <w:p w14:paraId="030532BC" w14:textId="77777777" w:rsidR="00C87B61" w:rsidRDefault="00580A78">
      <w:pPr>
        <w:numPr>
          <w:ilvl w:val="0"/>
          <w:numId w:val="1"/>
        </w:numPr>
        <w:spacing w:line="240" w:lineRule="auto"/>
        <w:rPr>
          <w:rFonts w:ascii="Calibri" w:eastAsia="Calibri" w:hAnsi="Calibri" w:cs="Calibri"/>
        </w:rPr>
      </w:pPr>
      <w:r>
        <w:rPr>
          <w:rFonts w:eastAsia="Calibri" w:cs="Calibri"/>
        </w:rPr>
        <w:t>Opdrachtgever in het kader van de uitoefening van zijn taak behoefte heeft aan het beoogde gebruik van de ICT Prestatie zoals ten tijde van het sluiten van de Overeenkomst voor Leverancier (al dan niet op basis van de offerteaanvraag of andere aan de Overeenkomst voorafgaande documenten) bekend was of op grond van artikel 3 GIBIT voor Leverancier bekend behoorde te zijn, een en ander voor zover dat gebruik in onderhavige Overeenkomst niet uitdrukkelijk is uitgesloten of beperkt;</w:t>
      </w:r>
    </w:p>
    <w:p w14:paraId="797804AD" w14:textId="77777777" w:rsidR="00C87B61" w:rsidRDefault="00580A78">
      <w:pPr>
        <w:numPr>
          <w:ilvl w:val="0"/>
          <w:numId w:val="1"/>
        </w:numPr>
        <w:spacing w:line="240" w:lineRule="auto"/>
        <w:rPr>
          <w:rFonts w:ascii="Calibri" w:eastAsia="Calibri" w:hAnsi="Calibri" w:cs="Calibri"/>
        </w:rPr>
      </w:pPr>
      <w:r>
        <w:rPr>
          <w:rFonts w:eastAsia="Calibri" w:cs="Calibri"/>
        </w:rPr>
        <w:t>Opdrachtgever in verband met hetgeen hiervoor is overwogen, tot Europese aanbesteding van de ICT Prestatie is overgegaan;</w:t>
      </w:r>
    </w:p>
    <w:p w14:paraId="0C584B67" w14:textId="77777777" w:rsidR="00C87B61" w:rsidRDefault="00580A78">
      <w:pPr>
        <w:numPr>
          <w:ilvl w:val="0"/>
          <w:numId w:val="1"/>
        </w:numPr>
        <w:spacing w:line="240" w:lineRule="auto"/>
        <w:rPr>
          <w:rFonts w:ascii="Calibri" w:eastAsia="Calibri" w:hAnsi="Calibri" w:cs="Calibri"/>
        </w:rPr>
      </w:pPr>
      <w:r>
        <w:rPr>
          <w:rFonts w:eastAsia="Calibri" w:cs="Calibri"/>
        </w:rPr>
        <w:t>Leverancier zich daarbij in voldoende mate op de hoogte heeft gesteld van wat Opdrachtgever met de opdracht wil bereiken;</w:t>
      </w:r>
    </w:p>
    <w:p w14:paraId="32515DD9" w14:textId="77777777" w:rsidR="00C87B61" w:rsidRDefault="00580A78">
      <w:pPr>
        <w:numPr>
          <w:ilvl w:val="0"/>
          <w:numId w:val="1"/>
        </w:numPr>
        <w:spacing w:line="240" w:lineRule="auto"/>
        <w:rPr>
          <w:rFonts w:ascii="Calibri" w:eastAsia="Calibri" w:hAnsi="Calibri" w:cs="Calibri"/>
        </w:rPr>
      </w:pPr>
      <w:r>
        <w:rPr>
          <w:rFonts w:eastAsia="Calibri" w:cs="Calibri"/>
        </w:rPr>
        <w:t>Partijen de uit het bovenstaande voortvloeiende rechtsverhouding schriftelijk wensen vast te leggen;</w:t>
      </w:r>
    </w:p>
    <w:p w14:paraId="768A26D8" w14:textId="77777777" w:rsidR="00C87B61" w:rsidRDefault="00580A78">
      <w:pPr>
        <w:spacing w:before="239" w:after="239" w:line="240" w:lineRule="auto"/>
        <w:textAlignment w:val="top"/>
      </w:pPr>
      <w:r>
        <w:rPr>
          <w:rFonts w:eastAsia="Calibri" w:cs="Calibri"/>
          <w:b/>
          <w:bCs/>
        </w:rPr>
        <w:t>zijn als volgt overeengekomen:</w:t>
      </w:r>
    </w:p>
    <w:p w14:paraId="2D012495" w14:textId="77777777" w:rsidR="00C87B61" w:rsidRDefault="00580A78">
      <w:pPr>
        <w:spacing w:before="239" w:after="239" w:line="240" w:lineRule="auto"/>
        <w:textAlignment w:val="top"/>
      </w:pPr>
      <w:r>
        <w:rPr>
          <w:rFonts w:eastAsia="Calibri" w:cs="Calibri"/>
          <w:b/>
          <w:bCs/>
        </w:rPr>
        <w:t>1. Voorwerp van de overeenkomst</w:t>
      </w:r>
      <w:r>
        <w:rPr>
          <w:rFonts w:eastAsia="Calibri" w:cs="Calibri"/>
        </w:rPr>
        <w:br/>
        <w:t>1.1. Leverancier verplicht zich tot het leveren van de ICT Prestatie zoals beschreven in:</w:t>
      </w:r>
    </w:p>
    <w:p w14:paraId="1FE52233" w14:textId="77777777" w:rsidR="00C87B61" w:rsidRDefault="00580A78">
      <w:pPr>
        <w:numPr>
          <w:ilvl w:val="0"/>
          <w:numId w:val="1"/>
        </w:numPr>
        <w:spacing w:line="240" w:lineRule="auto"/>
        <w:rPr>
          <w:rFonts w:ascii="Calibri" w:eastAsia="Calibri" w:hAnsi="Calibri" w:cs="Calibri"/>
        </w:rPr>
      </w:pPr>
      <w:r>
        <w:rPr>
          <w:rFonts w:eastAsia="Calibri" w:cs="Calibri"/>
        </w:rPr>
        <w:t>Het programma van eisen, zoals gewijzigd door/in de nota van inlichtingen;</w:t>
      </w:r>
    </w:p>
    <w:p w14:paraId="345DCF9A" w14:textId="77777777" w:rsidR="00C87B61" w:rsidRDefault="00580A78">
      <w:pPr>
        <w:numPr>
          <w:ilvl w:val="0"/>
          <w:numId w:val="1"/>
        </w:numPr>
        <w:spacing w:line="240" w:lineRule="auto"/>
        <w:rPr>
          <w:rFonts w:ascii="Calibri" w:eastAsia="Calibri" w:hAnsi="Calibri" w:cs="Calibri"/>
        </w:rPr>
      </w:pPr>
      <w:r>
        <w:rPr>
          <w:rFonts w:eastAsia="Calibri" w:cs="Calibri"/>
        </w:rPr>
        <w:t>Het beschrijvend document, zoals gewijzigd door/in de nota van inlichtingen;</w:t>
      </w:r>
    </w:p>
    <w:p w14:paraId="0DF20EF4" w14:textId="77777777" w:rsidR="00C87B61" w:rsidRDefault="00580A78">
      <w:pPr>
        <w:numPr>
          <w:ilvl w:val="0"/>
          <w:numId w:val="1"/>
        </w:numPr>
        <w:spacing w:line="240" w:lineRule="auto"/>
        <w:rPr>
          <w:rFonts w:ascii="Calibri" w:eastAsia="Calibri" w:hAnsi="Calibri" w:cs="Calibri"/>
        </w:rPr>
      </w:pPr>
      <w:r>
        <w:rPr>
          <w:rFonts w:eastAsia="Calibri" w:cs="Calibri"/>
        </w:rPr>
        <w:t>GIBIT (versie 2016);</w:t>
      </w:r>
    </w:p>
    <w:p w14:paraId="1A346F79" w14:textId="77777777" w:rsidR="00C87B61" w:rsidRDefault="00580A78">
      <w:pPr>
        <w:numPr>
          <w:ilvl w:val="0"/>
          <w:numId w:val="1"/>
        </w:numPr>
        <w:spacing w:line="240" w:lineRule="auto"/>
        <w:rPr>
          <w:rFonts w:ascii="Calibri" w:eastAsia="Calibri" w:hAnsi="Calibri" w:cs="Calibri"/>
        </w:rPr>
      </w:pPr>
      <w:r>
        <w:rPr>
          <w:rFonts w:eastAsia="Calibri" w:cs="Calibri"/>
        </w:rPr>
        <w:t>De offerte van Leverancier.</w:t>
      </w:r>
    </w:p>
    <w:p w14:paraId="68A53DB6" w14:textId="77777777" w:rsidR="00C87B61" w:rsidRDefault="00580A78">
      <w:pPr>
        <w:spacing w:before="239" w:after="239" w:line="240" w:lineRule="auto"/>
        <w:textAlignment w:val="top"/>
      </w:pPr>
      <w:r>
        <w:rPr>
          <w:rFonts w:eastAsia="Calibri" w:cs="Calibri"/>
        </w:rPr>
        <w:t>1.2. Bovenstaand(e) document(en) zijn opgenomen als bijlage bij deze Overeenkomst.</w:t>
      </w:r>
      <w:r>
        <w:rPr>
          <w:rFonts w:eastAsia="Calibri" w:cs="Calibri"/>
        </w:rPr>
        <w:br/>
        <w:t>1.3. De in het eerste lid bedoelde activiteiten zullen plaatsvinden onder de voorwaarden als beschreven in het onderhavige document en de hierin genoemde bijlagen (hierna gezamenlijk: “de Overeenkomst”).</w:t>
      </w:r>
    </w:p>
    <w:p w14:paraId="263D5745" w14:textId="77777777" w:rsidR="00C87B61" w:rsidRDefault="00580A78">
      <w:pPr>
        <w:spacing w:before="239" w:after="239" w:line="240" w:lineRule="auto"/>
        <w:textAlignment w:val="top"/>
      </w:pPr>
      <w:r>
        <w:rPr>
          <w:rFonts w:eastAsia="Calibri" w:cs="Calibri"/>
          <w:b/>
          <w:bCs/>
        </w:rPr>
        <w:lastRenderedPageBreak/>
        <w:t>2. Specificaties</w:t>
      </w:r>
      <w:r>
        <w:rPr>
          <w:rFonts w:eastAsia="Calibri" w:cs="Calibri"/>
        </w:rPr>
        <w:br/>
        <w:t>2.1. Tot het Overeengekomen gebruik behoort dat de ICT Prestatie voldoet aan hetgeen beschreven is in de in artikel 1.1. genoemde documenten.</w:t>
      </w:r>
      <w:r>
        <w:rPr>
          <w:rFonts w:eastAsia="Calibri" w:cs="Calibri"/>
        </w:rPr>
        <w:br/>
        <w:t>2.2. Leverancier garandeert dat de ICT Prestatie zal voldoen aan de Gemeentelijke ICT-kwaliteitsnormen en overige normen zoals opgenomen in de GIBIT en in de in artikel 1.1. genoemde documenten.</w:t>
      </w:r>
    </w:p>
    <w:p w14:paraId="1A49B7FA" w14:textId="77777777" w:rsidR="00580A78" w:rsidRDefault="00580A78" w:rsidP="00580A78">
      <w:pPr>
        <w:spacing w:line="240" w:lineRule="auto"/>
        <w:textAlignment w:val="top"/>
        <w:rPr>
          <w:rFonts w:eastAsia="Calibri" w:cs="Calibri"/>
        </w:rPr>
      </w:pPr>
      <w:r>
        <w:rPr>
          <w:rFonts w:eastAsia="Calibri" w:cs="Calibri"/>
          <w:b/>
          <w:bCs/>
        </w:rPr>
        <w:t>3. Looptijd</w:t>
      </w:r>
      <w:r>
        <w:rPr>
          <w:rFonts w:eastAsia="Calibri" w:cs="Calibri"/>
        </w:rPr>
        <w:br/>
        <w:t>3.1. De Overeenkomst treedt in werking op het moment waarop deze door beide partijen is ondertekend.</w:t>
      </w:r>
      <w:r>
        <w:rPr>
          <w:rFonts w:eastAsia="Calibri" w:cs="Calibri"/>
        </w:rPr>
        <w:br/>
        <w:t>3.2. De Overeenkomst heeft een looptijd tot twee (2) jaar na inwerkingtreding overeenkomstig lid 1 van dit artikel.</w:t>
      </w:r>
      <w:r>
        <w:rPr>
          <w:rFonts w:eastAsia="Calibri" w:cs="Calibri"/>
        </w:rPr>
        <w:br/>
        <w:t xml:space="preserve">3.3. Na afloop van voornoemde looptijd wordt de Overeenkomst stilzwijgend verlengd. </w:t>
      </w:r>
    </w:p>
    <w:p w14:paraId="1923B75B" w14:textId="77777777" w:rsidR="00580A78" w:rsidRDefault="00580A78" w:rsidP="00580A78">
      <w:pPr>
        <w:spacing w:line="240" w:lineRule="auto"/>
        <w:textAlignment w:val="top"/>
        <w:rPr>
          <w:rFonts w:eastAsia="Calibri" w:cs="Calibri"/>
        </w:rPr>
      </w:pPr>
      <w:r>
        <w:rPr>
          <w:rFonts w:eastAsia="Calibri" w:cs="Calibri"/>
        </w:rPr>
        <w:t xml:space="preserve">3.4. De Overeenkomst mag maximaal tweemaal worden verlengd. </w:t>
      </w:r>
    </w:p>
    <w:p w14:paraId="0A3DE71E" w14:textId="77777777" w:rsidR="00C87B61" w:rsidRPr="00580A78" w:rsidRDefault="00580A78" w:rsidP="00580A78">
      <w:pPr>
        <w:spacing w:line="240" w:lineRule="auto"/>
        <w:textAlignment w:val="top"/>
        <w:rPr>
          <w:rFonts w:eastAsia="Calibri" w:cs="Calibri"/>
        </w:rPr>
      </w:pPr>
      <w:r>
        <w:rPr>
          <w:rFonts w:eastAsia="Calibri" w:cs="Calibri"/>
        </w:rPr>
        <w:t>3.5. Bij verlenging wordt de Overeenkomst verlengd met een periode van één (1) jaar.</w:t>
      </w:r>
      <w:r>
        <w:rPr>
          <w:rFonts w:eastAsia="Calibri" w:cs="Calibri"/>
        </w:rPr>
        <w:br/>
        <w:t>3.6. De Overeenkomst kan worden opgezegd tegen het einde van de dan actuele looptijd middels een schriftelijke opzegging met inachtneming van de opzegtermijn. De opzegtermijn bedraagt respectievelijk één (1) maand voor Opdrachtgever en zes (6) maanden voor Leverancier.</w:t>
      </w:r>
      <w:r>
        <w:rPr>
          <w:rFonts w:eastAsia="Calibri" w:cs="Calibri"/>
        </w:rPr>
        <w:br/>
        <w:t>3.7. De looptijd van het Onderhoud is gelijk aan de looptijd van de Overeenkomst.</w:t>
      </w:r>
      <w:r>
        <w:rPr>
          <w:rFonts w:eastAsia="Calibri" w:cs="Calibri"/>
        </w:rPr>
        <w:br/>
        <w:t>3.8. De volgende onderdelen van de ICT Prestatie worden voor wat betreft looptijd in ieder geval als afzonderlijke Overeenkomsten beschouwd in de zin van artikel 20.3 GIBIT: </w:t>
      </w:r>
    </w:p>
    <w:p w14:paraId="03D82133" w14:textId="77777777" w:rsidR="00C87B61" w:rsidRDefault="00580A78">
      <w:pPr>
        <w:numPr>
          <w:ilvl w:val="0"/>
          <w:numId w:val="1"/>
        </w:numPr>
        <w:spacing w:line="240" w:lineRule="auto"/>
        <w:rPr>
          <w:rFonts w:ascii="Calibri" w:eastAsia="Calibri" w:hAnsi="Calibri" w:cs="Calibri"/>
        </w:rPr>
      </w:pPr>
      <w:r>
        <w:rPr>
          <w:rFonts w:eastAsia="Calibri" w:cs="Calibri"/>
        </w:rPr>
        <w:t>Onderhoud.</w:t>
      </w:r>
    </w:p>
    <w:p w14:paraId="157E56F4" w14:textId="77777777" w:rsidR="00C87B61" w:rsidRDefault="00580A78">
      <w:pPr>
        <w:spacing w:before="239" w:after="239" w:line="240" w:lineRule="auto"/>
        <w:textAlignment w:val="top"/>
      </w:pPr>
      <w:r>
        <w:rPr>
          <w:rFonts w:eastAsia="Calibri" w:cs="Calibri"/>
          <w:b/>
          <w:bCs/>
        </w:rPr>
        <w:t>4. Onderhoud en ondersteuning</w:t>
      </w:r>
      <w:r>
        <w:rPr>
          <w:rFonts w:eastAsia="Calibri" w:cs="Calibri"/>
        </w:rPr>
        <w:br/>
        <w:t>4.1. Het Onderhoud wordt verricht overeenkomstig:</w:t>
      </w:r>
    </w:p>
    <w:p w14:paraId="2ADA95AD" w14:textId="77777777" w:rsidR="00C87B61" w:rsidRDefault="00580A78">
      <w:pPr>
        <w:numPr>
          <w:ilvl w:val="0"/>
          <w:numId w:val="1"/>
        </w:numPr>
        <w:spacing w:line="240" w:lineRule="auto"/>
        <w:rPr>
          <w:rFonts w:ascii="Calibri" w:eastAsia="Calibri" w:hAnsi="Calibri" w:cs="Calibri"/>
        </w:rPr>
      </w:pPr>
      <w:r>
        <w:rPr>
          <w:rFonts w:eastAsia="Calibri" w:cs="Calibri"/>
        </w:rPr>
        <w:t>artikel 8 GIBIT.</w:t>
      </w:r>
    </w:p>
    <w:p w14:paraId="1EACC8D2" w14:textId="77777777" w:rsidR="00C87B61" w:rsidRDefault="00580A78">
      <w:pPr>
        <w:spacing w:before="239" w:after="239" w:line="240" w:lineRule="auto"/>
        <w:textAlignment w:val="top"/>
      </w:pPr>
      <w:r>
        <w:rPr>
          <w:rFonts w:eastAsia="Calibri" w:cs="Calibri"/>
          <w:b/>
          <w:bCs/>
        </w:rPr>
        <w:t>5. Vergoedingen</w:t>
      </w:r>
      <w:r>
        <w:rPr>
          <w:rFonts w:eastAsia="Calibri" w:cs="Calibri"/>
        </w:rPr>
        <w:br/>
        <w:t>5.1. De vergoeding van het Onderhoud is nader gespecificeerd in de offerte van Leverancier.</w:t>
      </w:r>
      <w:r>
        <w:rPr>
          <w:rFonts w:eastAsia="Calibri" w:cs="Calibri"/>
        </w:rPr>
        <w:br/>
        <w:t xml:space="preserve">5.2. Leverancier verzendt de factuur aan Opdrachtgever elektronisch als PDF-bestand naar </w:t>
      </w:r>
      <w:r w:rsidRPr="00580A78">
        <w:rPr>
          <w:rFonts w:eastAsia="Calibri" w:cs="Calibri"/>
          <w:highlight w:val="yellow"/>
        </w:rPr>
        <w:t>XXXX</w:t>
      </w:r>
      <w:r>
        <w:rPr>
          <w:rFonts w:eastAsia="Calibri" w:cs="Calibri"/>
        </w:rPr>
        <w:t>.</w:t>
      </w:r>
    </w:p>
    <w:p w14:paraId="65A0D1E4" w14:textId="07E66A84" w:rsidR="00C87B61" w:rsidRDefault="00580A78">
      <w:pPr>
        <w:spacing w:before="239" w:after="239" w:line="240" w:lineRule="auto"/>
        <w:textAlignment w:val="top"/>
        <w:rPr>
          <w:rFonts w:eastAsia="Calibri" w:cs="Calibri"/>
        </w:rPr>
      </w:pPr>
      <w:r>
        <w:rPr>
          <w:rFonts w:eastAsia="Calibri" w:cs="Calibri"/>
          <w:b/>
          <w:bCs/>
        </w:rPr>
        <w:t>6. Contactpersonen en bevoegdheden</w:t>
      </w:r>
      <w:r>
        <w:rPr>
          <w:rFonts w:eastAsia="Calibri" w:cs="Calibri"/>
        </w:rPr>
        <w:br/>
        <w:t>6.1. Partijen wijzen de in een bijlage gespecificeerde personen aan als contactpersoon namens hun organisatie gedurende de looptijd van de Overeenkomst.</w:t>
      </w:r>
      <w:r>
        <w:rPr>
          <w:rFonts w:eastAsia="Calibri" w:cs="Calibri"/>
        </w:rPr>
        <w:br/>
        <w:t>6.2. Tenzij vooraf door de ene partij uitdrukkelijk schriftelijk aan de andere partij van het tegendeel mededeling wordt gedaan, zijn de bedoelde contactpersonen bevoegd de partij die hen heeft aangewezen, in het kader van de uitvoering van deze Overeenkomst en de nadere overeenkomsten te vertegenwoordigen, en in dat kader aanvullende of afwijkende afspraken te maken.</w:t>
      </w:r>
      <w:r>
        <w:rPr>
          <w:rFonts w:eastAsia="Calibri" w:cs="Calibri"/>
        </w:rPr>
        <w:br/>
        <w:t>6.3. Een partij mag haar contactpersonen wijzigen middels schriftelijke mededeling aan de andere partij. De wijziging zal minimaal een week van tevoren worden gemeld, behoudens in spoedgevallen.</w:t>
      </w:r>
    </w:p>
    <w:p w14:paraId="2D90F916" w14:textId="77777777" w:rsidR="009327FB" w:rsidRDefault="009327FB">
      <w:pPr>
        <w:spacing w:before="239" w:after="239" w:line="240" w:lineRule="auto"/>
        <w:textAlignment w:val="top"/>
      </w:pPr>
    </w:p>
    <w:p w14:paraId="65A0FB1B" w14:textId="5B0B9677" w:rsidR="00C87B61" w:rsidRPr="00E22719" w:rsidRDefault="00580A78">
      <w:pPr>
        <w:spacing w:before="239" w:after="239" w:line="240" w:lineRule="auto"/>
        <w:textAlignment w:val="top"/>
        <w:rPr>
          <w:rFonts w:eastAsia="Calibri" w:cs="Calibri"/>
        </w:rPr>
      </w:pPr>
      <w:r>
        <w:rPr>
          <w:rFonts w:eastAsia="Calibri" w:cs="Calibri"/>
          <w:b/>
          <w:bCs/>
        </w:rPr>
        <w:lastRenderedPageBreak/>
        <w:t>7. Voorwaarden en overige afspraken</w:t>
      </w:r>
      <w:r>
        <w:rPr>
          <w:rFonts w:eastAsia="Calibri" w:cs="Calibri"/>
        </w:rPr>
        <w:br/>
        <w:t>7.1. Op deze Overeenkomst is de GIBIT (versie 2016) van toepassing, zoals bijgesloten als bijlage. Leverancier verklaart een exemplaar van de GIBIT (versie 2016) te hebben ontvangen.</w:t>
      </w:r>
      <w:r>
        <w:rPr>
          <w:rFonts w:eastAsia="Calibri" w:cs="Calibri"/>
        </w:rPr>
        <w:br/>
        <w:t>7.2. Eventuele leveringsvoorwaarden van Leverancier zijn uitdrukkelijk niet van toepassing.</w:t>
      </w:r>
      <w:r>
        <w:rPr>
          <w:rFonts w:eastAsia="Calibri" w:cs="Calibri"/>
        </w:rPr>
        <w:br/>
        <w:t>7.3. Onverminderd het bepaalde in lid 1 van dit artikel, wordt als volgt afgeweken van de volgende bepalingen van de GIBIT:</w:t>
      </w:r>
    </w:p>
    <w:p w14:paraId="6BCE2E7F" w14:textId="77777777" w:rsidR="00C87B61" w:rsidRDefault="00580A78">
      <w:pPr>
        <w:numPr>
          <w:ilvl w:val="0"/>
          <w:numId w:val="1"/>
        </w:numPr>
        <w:spacing w:line="240" w:lineRule="auto"/>
        <w:rPr>
          <w:rFonts w:ascii="Calibri" w:eastAsia="Calibri" w:hAnsi="Calibri" w:cs="Calibri"/>
        </w:rPr>
      </w:pPr>
      <w:r>
        <w:rPr>
          <w:rFonts w:eastAsia="Calibri" w:cs="Calibri"/>
        </w:rPr>
        <w:t>In afwijking van artikel 13.2 GIBIT is de aansprakelijkheid van Leverancier is beperkt tot € 1.250.000,00 per gebeurtenis en gemaximeerd tot € 2.500.000,- per jaar.</w:t>
      </w:r>
    </w:p>
    <w:p w14:paraId="5FDAA95C" w14:textId="77777777" w:rsidR="00C87B61" w:rsidRDefault="00580A78">
      <w:pPr>
        <w:spacing w:before="239" w:after="239" w:line="240" w:lineRule="auto"/>
        <w:textAlignment w:val="top"/>
      </w:pPr>
      <w:r>
        <w:rPr>
          <w:rFonts w:eastAsia="Calibri" w:cs="Calibri"/>
        </w:rPr>
        <w:t>7.4. De navolgende stukken vormen gezamenlijk de Overeenkomst. Voor zover deze stukken met elkaar in tegenspraak zijn, prevaleert het eerder genoemde stuk boven het later genoemde:</w:t>
      </w:r>
    </w:p>
    <w:p w14:paraId="62A00590" w14:textId="77777777" w:rsidR="00C87B61" w:rsidRDefault="00580A78">
      <w:pPr>
        <w:numPr>
          <w:ilvl w:val="0"/>
          <w:numId w:val="1"/>
        </w:numPr>
        <w:spacing w:line="240" w:lineRule="auto"/>
        <w:rPr>
          <w:rFonts w:ascii="Calibri" w:eastAsia="Calibri" w:hAnsi="Calibri" w:cs="Calibri"/>
        </w:rPr>
      </w:pPr>
      <w:r>
        <w:rPr>
          <w:rFonts w:eastAsia="Calibri" w:cs="Calibri"/>
        </w:rPr>
        <w:t>Het onderhavige document;</w:t>
      </w:r>
    </w:p>
    <w:p w14:paraId="300248AB" w14:textId="77777777" w:rsidR="00C87B61" w:rsidRDefault="00580A78">
      <w:pPr>
        <w:numPr>
          <w:ilvl w:val="0"/>
          <w:numId w:val="1"/>
        </w:numPr>
        <w:spacing w:line="240" w:lineRule="auto"/>
        <w:rPr>
          <w:rFonts w:ascii="Calibri" w:eastAsia="Calibri" w:hAnsi="Calibri" w:cs="Calibri"/>
        </w:rPr>
      </w:pPr>
      <w:r>
        <w:rPr>
          <w:rFonts w:eastAsia="Calibri" w:cs="Calibri"/>
        </w:rPr>
        <w:t>De in artikel 1.1. genoemde documenten (in de daar genoemde volgorde).</w:t>
      </w:r>
    </w:p>
    <w:p w14:paraId="62AA9C6A" w14:textId="6F1CD248" w:rsidR="00C87B61" w:rsidRDefault="00580A78">
      <w:pPr>
        <w:spacing w:before="239" w:after="239" w:line="240" w:lineRule="auto"/>
        <w:textAlignment w:val="top"/>
        <w:rPr>
          <w:rFonts w:eastAsia="Calibri" w:cs="Calibri"/>
        </w:rPr>
      </w:pPr>
      <w:r>
        <w:rPr>
          <w:rFonts w:eastAsia="Calibri" w:cs="Calibri"/>
        </w:rPr>
        <w:t>7.5. In de Overeenkomst wordt een aantal begrippen met een beginhoofdletter gebruikt. Aan deze begrippen komt de betekenis toe die hieraan is gegeven in de GIBIT (versie 2016).</w:t>
      </w:r>
    </w:p>
    <w:p w14:paraId="2A860047" w14:textId="1FC0CFFA" w:rsidR="004632DA" w:rsidRPr="00106450" w:rsidRDefault="004632DA" w:rsidP="004632DA">
      <w:pPr>
        <w:pStyle w:val="Kop1TimesNewRoman12pt"/>
      </w:pPr>
      <w:bookmarkStart w:id="0" w:name="_Toc458070756"/>
      <w:r w:rsidRPr="00106450">
        <w:t xml:space="preserve">Artikel </w:t>
      </w:r>
      <w:r>
        <w:t>8</w:t>
      </w:r>
      <w:r w:rsidRPr="00106450">
        <w:t>:</w:t>
      </w:r>
      <w:r w:rsidRPr="00106450">
        <w:tab/>
        <w:t>Slotbepalingen</w:t>
      </w:r>
      <w:bookmarkEnd w:id="0"/>
    </w:p>
    <w:p w14:paraId="71C570F7" w14:textId="77777777" w:rsidR="004632DA" w:rsidRDefault="004632DA" w:rsidP="004632DA">
      <w:pPr>
        <w:suppressAutoHyphens/>
        <w:ind w:left="700" w:right="-1" w:hanging="700"/>
        <w:rPr>
          <w:rFonts w:ascii="Calibri" w:hAnsi="Calibri"/>
        </w:rPr>
      </w:pPr>
    </w:p>
    <w:p w14:paraId="3E8BB761" w14:textId="28300DDC" w:rsidR="004632DA" w:rsidRPr="00A6042D" w:rsidRDefault="004632DA" w:rsidP="004632DA">
      <w:pPr>
        <w:suppressAutoHyphens/>
        <w:ind w:left="705" w:right="-1" w:hanging="705"/>
        <w:rPr>
          <w:rFonts w:ascii="Calibri" w:hAnsi="Calibri"/>
        </w:rPr>
      </w:pPr>
      <w:r>
        <w:rPr>
          <w:rFonts w:ascii="Calibri" w:hAnsi="Calibri"/>
        </w:rPr>
        <w:t>8.1</w:t>
      </w:r>
      <w:r>
        <w:rPr>
          <w:rFonts w:ascii="Calibri" w:hAnsi="Calibri"/>
        </w:rPr>
        <w:tab/>
      </w:r>
      <w:r w:rsidRPr="00A6042D">
        <w:rPr>
          <w:rFonts w:ascii="Calibri" w:hAnsi="Calibri"/>
        </w:rPr>
        <w:t>Afwijkingen van deze Overeenkomst zijn slechts bindend voor zover zij uitdrukkelijk tussen partijen schriftelijk zijn overeengekomen.</w:t>
      </w:r>
    </w:p>
    <w:p w14:paraId="1106E3A0" w14:textId="77777777" w:rsidR="004632DA" w:rsidRDefault="004632DA" w:rsidP="004632DA">
      <w:pPr>
        <w:pStyle w:val="Lijstalinea"/>
        <w:suppressAutoHyphens/>
        <w:ind w:right="-1"/>
        <w:rPr>
          <w:rFonts w:ascii="Calibri" w:hAnsi="Calibri"/>
        </w:rPr>
      </w:pPr>
    </w:p>
    <w:p w14:paraId="50572D5E" w14:textId="7E6537D5" w:rsidR="004632DA" w:rsidRPr="00A6042D" w:rsidRDefault="004632DA" w:rsidP="004632DA">
      <w:pPr>
        <w:suppressAutoHyphens/>
        <w:ind w:left="705" w:right="-1" w:hanging="705"/>
        <w:rPr>
          <w:rFonts w:ascii="Calibri" w:hAnsi="Calibri"/>
        </w:rPr>
      </w:pPr>
      <w:r>
        <w:rPr>
          <w:rFonts w:ascii="Calibri" w:hAnsi="Calibri"/>
        </w:rPr>
        <w:t>8.2</w:t>
      </w:r>
      <w:r>
        <w:rPr>
          <w:rFonts w:ascii="Calibri" w:hAnsi="Calibri"/>
        </w:rPr>
        <w:tab/>
      </w:r>
      <w:r w:rsidRPr="00A6042D">
        <w:rPr>
          <w:rFonts w:ascii="Calibri" w:hAnsi="Calibri"/>
        </w:rPr>
        <w:t>Door ondertekening van deze Overeenkomst vervallen alle eventueel eerder door partijen gemaakte mondelinge en schriftelijke afspraken omtrent de hierbij overeengekomen Diensten.</w:t>
      </w:r>
    </w:p>
    <w:p w14:paraId="3FBC012D" w14:textId="77777777" w:rsidR="004632DA" w:rsidRDefault="004632DA">
      <w:pPr>
        <w:spacing w:before="239" w:after="239" w:line="240" w:lineRule="auto"/>
        <w:textAlignment w:val="top"/>
      </w:pPr>
    </w:p>
    <w:p w14:paraId="463F759C" w14:textId="77777777" w:rsidR="00C87B61" w:rsidRDefault="00580A78">
      <w:pPr>
        <w:spacing w:before="239" w:after="239" w:line="240" w:lineRule="auto"/>
        <w:textAlignment w:val="top"/>
      </w:pPr>
      <w:r>
        <w:rPr>
          <w:rFonts w:eastAsia="Calibri" w:cs="Calibri"/>
          <w:i/>
          <w:iCs/>
        </w:rPr>
        <w:t>Aangezien dit een conceptovereenkomst betreft kan deze derhalve niet ondertekend worden.</w:t>
      </w:r>
    </w:p>
    <w:p w14:paraId="0B8FB91E" w14:textId="0D18F531" w:rsidR="00C87B61" w:rsidRDefault="00580A78">
      <w:pPr>
        <w:spacing w:before="239" w:after="239" w:line="240" w:lineRule="auto"/>
        <w:textAlignment w:val="top"/>
      </w:pPr>
      <w:r>
        <w:rPr>
          <w:rFonts w:eastAsia="Calibri" w:cs="Calibri"/>
        </w:rPr>
        <w:t> </w:t>
      </w:r>
      <w:r w:rsidR="004632DA">
        <w:rPr>
          <w:rFonts w:eastAsia="Calibri" w:cs="Calibri"/>
        </w:rPr>
        <w:t>Onderstaande bijlagen maken integraal onderdeel uit van de Overeenkomst.</w:t>
      </w:r>
    </w:p>
    <w:p w14:paraId="340E413B" w14:textId="77777777" w:rsidR="00C87B61" w:rsidRDefault="00580A78">
      <w:pPr>
        <w:numPr>
          <w:ilvl w:val="0"/>
          <w:numId w:val="1"/>
        </w:numPr>
        <w:spacing w:line="240" w:lineRule="auto"/>
        <w:rPr>
          <w:rFonts w:ascii="Calibri" w:eastAsia="Calibri" w:hAnsi="Calibri" w:cs="Calibri"/>
        </w:rPr>
      </w:pPr>
      <w:r>
        <w:rPr>
          <w:rFonts w:eastAsia="Calibri" w:cs="Calibri"/>
        </w:rPr>
        <w:t>Het programma van eisen;</w:t>
      </w:r>
    </w:p>
    <w:p w14:paraId="21E936AC" w14:textId="77777777" w:rsidR="00C87B61" w:rsidRDefault="00580A78">
      <w:pPr>
        <w:numPr>
          <w:ilvl w:val="0"/>
          <w:numId w:val="1"/>
        </w:numPr>
        <w:spacing w:line="240" w:lineRule="auto"/>
        <w:rPr>
          <w:rFonts w:ascii="Calibri" w:eastAsia="Calibri" w:hAnsi="Calibri" w:cs="Calibri"/>
        </w:rPr>
      </w:pPr>
      <w:r>
        <w:rPr>
          <w:rFonts w:eastAsia="Calibri" w:cs="Calibri"/>
        </w:rPr>
        <w:t>Het beschrijvend document;</w:t>
      </w:r>
    </w:p>
    <w:p w14:paraId="0AE32DD8" w14:textId="77777777" w:rsidR="00C87B61" w:rsidRDefault="00580A78">
      <w:pPr>
        <w:numPr>
          <w:ilvl w:val="0"/>
          <w:numId w:val="1"/>
        </w:numPr>
        <w:spacing w:line="240" w:lineRule="auto"/>
        <w:rPr>
          <w:rFonts w:ascii="Calibri" w:eastAsia="Calibri" w:hAnsi="Calibri" w:cs="Calibri"/>
        </w:rPr>
      </w:pPr>
      <w:r>
        <w:rPr>
          <w:rFonts w:eastAsia="Calibri" w:cs="Calibri"/>
        </w:rPr>
        <w:t>De nota van inlichtingen;</w:t>
      </w:r>
    </w:p>
    <w:p w14:paraId="48626447" w14:textId="77777777" w:rsidR="00C87B61" w:rsidRDefault="00580A78">
      <w:pPr>
        <w:numPr>
          <w:ilvl w:val="0"/>
          <w:numId w:val="1"/>
        </w:numPr>
        <w:spacing w:line="240" w:lineRule="auto"/>
        <w:rPr>
          <w:rFonts w:ascii="Calibri" w:eastAsia="Calibri" w:hAnsi="Calibri" w:cs="Calibri"/>
        </w:rPr>
      </w:pPr>
      <w:r>
        <w:rPr>
          <w:rFonts w:eastAsia="Calibri" w:cs="Calibri"/>
        </w:rPr>
        <w:t>GIBIT (versie 2016);</w:t>
      </w:r>
    </w:p>
    <w:p w14:paraId="01ADC31A" w14:textId="77777777" w:rsidR="00C87B61" w:rsidRDefault="00580A78">
      <w:pPr>
        <w:numPr>
          <w:ilvl w:val="0"/>
          <w:numId w:val="1"/>
        </w:numPr>
        <w:spacing w:line="240" w:lineRule="auto"/>
        <w:rPr>
          <w:rFonts w:ascii="Calibri" w:eastAsia="Calibri" w:hAnsi="Calibri" w:cs="Calibri"/>
        </w:rPr>
      </w:pPr>
      <w:r>
        <w:rPr>
          <w:rFonts w:eastAsia="Calibri" w:cs="Calibri"/>
        </w:rPr>
        <w:t>De offerte van Leverancier;</w:t>
      </w:r>
    </w:p>
    <w:p w14:paraId="02225E9E" w14:textId="77777777" w:rsidR="00C87B61" w:rsidRDefault="00580A78">
      <w:pPr>
        <w:numPr>
          <w:ilvl w:val="0"/>
          <w:numId w:val="1"/>
        </w:numPr>
        <w:spacing w:line="240" w:lineRule="auto"/>
        <w:rPr>
          <w:rFonts w:ascii="Calibri" w:eastAsia="Calibri" w:hAnsi="Calibri" w:cs="Calibri"/>
        </w:rPr>
      </w:pPr>
      <w:r>
        <w:rPr>
          <w:rFonts w:eastAsia="Calibri" w:cs="Calibri"/>
        </w:rPr>
        <w:t>Contactpersonen Opdrachtgever;</w:t>
      </w:r>
    </w:p>
    <w:p w14:paraId="7B948048" w14:textId="77777777" w:rsidR="00C87B61" w:rsidRDefault="00580A78">
      <w:pPr>
        <w:numPr>
          <w:ilvl w:val="0"/>
          <w:numId w:val="1"/>
        </w:numPr>
        <w:spacing w:line="240" w:lineRule="auto"/>
      </w:pPr>
      <w:r>
        <w:rPr>
          <w:rFonts w:eastAsia="Calibri" w:cs="Calibri"/>
        </w:rPr>
        <w:t>Contactpersonen Leverancier.</w:t>
      </w:r>
    </w:p>
    <w:sectPr w:rsidR="00C87B61">
      <w:footerReference w:type="default" r:id="rId10"/>
      <w:pgSz w:w="11906" w:h="16838"/>
      <w:pgMar w:top="1440" w:right="1440" w:bottom="1440" w:left="1440"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D93A1" w14:textId="77777777" w:rsidR="005E334B" w:rsidRDefault="00580A78">
      <w:pPr>
        <w:spacing w:line="240" w:lineRule="auto"/>
      </w:pPr>
      <w:r>
        <w:separator/>
      </w:r>
    </w:p>
  </w:endnote>
  <w:endnote w:type="continuationSeparator" w:id="0">
    <w:p w14:paraId="73C7AD93" w14:textId="77777777" w:rsidR="005E334B" w:rsidRDefault="00580A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DejaVu Sans">
    <w:altName w:val="Verdana"/>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PHPDOCX"/>
      <w:tblW w:w="5000" w:type="pct"/>
      <w:tblLook w:val="04A0" w:firstRow="1" w:lastRow="0" w:firstColumn="1" w:lastColumn="0" w:noHBand="0" w:noVBand="1"/>
    </w:tblPr>
    <w:tblGrid>
      <w:gridCol w:w="4512"/>
      <w:gridCol w:w="4514"/>
    </w:tblGrid>
    <w:tr w:rsidR="00C87B61" w14:paraId="58738B6E" w14:textId="77777777">
      <w:tc>
        <w:tcPr>
          <w:tcW w:w="4512" w:type="dxa"/>
          <w:tcBorders>
            <w:top w:val="nil"/>
            <w:left w:val="nil"/>
            <w:bottom w:val="nil"/>
            <w:right w:val="nil"/>
          </w:tcBorders>
          <w:shd w:val="clear" w:color="auto" w:fill="auto"/>
        </w:tcPr>
        <w:p w14:paraId="0E3C7982" w14:textId="77777777" w:rsidR="00C87B61" w:rsidRDefault="00C87B61">
          <w:pPr>
            <w:spacing w:line="240" w:lineRule="auto"/>
          </w:pPr>
        </w:p>
      </w:tc>
      <w:tc>
        <w:tcPr>
          <w:tcW w:w="4513" w:type="dxa"/>
          <w:tcBorders>
            <w:top w:val="nil"/>
            <w:left w:val="nil"/>
            <w:bottom w:val="nil"/>
            <w:right w:val="nil"/>
          </w:tcBorders>
          <w:shd w:val="clear" w:color="auto" w:fill="auto"/>
        </w:tcPr>
        <w:sdt>
          <w:sdtPr>
            <w:id w:val="1134123436"/>
            <w:docPartObj>
              <w:docPartGallery w:val="Page Numbers (Top of Page)"/>
              <w:docPartUnique/>
            </w:docPartObj>
          </w:sdtPr>
          <w:sdtEndPr/>
          <w:sdtContent>
            <w:p w14:paraId="410E30D1" w14:textId="77777777" w:rsidR="00C87B61" w:rsidRDefault="00580A78">
              <w:pPr>
                <w:pStyle w:val="Voettekst"/>
                <w:spacing w:line="240" w:lineRule="auto"/>
                <w:jc w:val="right"/>
              </w:pPr>
              <w:r>
                <w:t xml:space="preserve">Pagina </w:t>
              </w:r>
              <w:r>
                <w:fldChar w:fldCharType="begin"/>
              </w:r>
              <w:r>
                <w:instrText>PAGE</w:instrText>
              </w:r>
              <w:r>
                <w:fldChar w:fldCharType="separate"/>
              </w:r>
              <w:r>
                <w:t>3</w:t>
              </w:r>
              <w:r>
                <w:fldChar w:fldCharType="end"/>
              </w:r>
              <w:r>
                <w:t xml:space="preserve"> van </w:t>
              </w:r>
              <w:r>
                <w:fldChar w:fldCharType="begin"/>
              </w:r>
              <w:r>
                <w:instrText>NUMPAGES</w:instrText>
              </w:r>
              <w:r>
                <w:fldChar w:fldCharType="separate"/>
              </w:r>
              <w:r>
                <w:t>3</w:t>
              </w:r>
              <w:r>
                <w:fldChar w:fldCharType="end"/>
              </w:r>
            </w:p>
          </w:sdtContent>
        </w:sdt>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12980D" w14:textId="77777777" w:rsidR="005E334B" w:rsidRDefault="00580A78">
      <w:pPr>
        <w:spacing w:line="240" w:lineRule="auto"/>
      </w:pPr>
      <w:r>
        <w:separator/>
      </w:r>
    </w:p>
  </w:footnote>
  <w:footnote w:type="continuationSeparator" w:id="0">
    <w:p w14:paraId="3402D2F3" w14:textId="77777777" w:rsidR="005E334B" w:rsidRDefault="00580A7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437A97"/>
    <w:multiLevelType w:val="multilevel"/>
    <w:tmpl w:val="76EEF07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57052E94"/>
    <w:multiLevelType w:val="multilevel"/>
    <w:tmpl w:val="3E8CE90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B61"/>
    <w:rsid w:val="00065120"/>
    <w:rsid w:val="004632DA"/>
    <w:rsid w:val="00580A78"/>
    <w:rsid w:val="005E334B"/>
    <w:rsid w:val="009327FB"/>
    <w:rsid w:val="00C87B61"/>
    <w:rsid w:val="00E22719"/>
  </w:rsids>
  <m:mathPr>
    <m:mathFont m:val="Cambria Math"/>
    <m:brkBin m:val="before"/>
    <m:brkBinSub m:val="--"/>
    <m:smallFrac m:val="0"/>
    <m:dispDef/>
    <m:lMargin m:val="0"/>
    <m:rMargin m:val="0"/>
    <m:defJc m:val="centerGroup"/>
    <m:wrapIndent m:val="1440"/>
    <m:intLim m:val="subSup"/>
    <m:naryLim m:val="undOvr"/>
  </m:mathPr>
  <w:themeFontLang w:val="nl-N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AEF45"/>
  <w15:docId w15:val="{EF353B6F-FEF3-334E-A6D5-57C2B84A6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554E0"/>
    <w:pPr>
      <w:spacing w:line="288" w:lineRule="auto"/>
    </w:pPr>
  </w:style>
  <w:style w:type="paragraph" w:styleId="Kop1">
    <w:name w:val="heading 1"/>
    <w:basedOn w:val="Standaard"/>
    <w:next w:val="Standaard"/>
    <w:link w:val="Kop1Char"/>
    <w:uiPriority w:val="9"/>
    <w:qFormat/>
    <w:rsid w:val="005554E0"/>
    <w:pPr>
      <w:keepNext/>
      <w:keepLines/>
      <w:spacing w:before="240"/>
      <w:outlineLvl w:val="0"/>
    </w:pPr>
    <w:rPr>
      <w:rFonts w:eastAsiaTheme="majorEastAsia" w:cstheme="majorBidi"/>
      <w:b/>
      <w:color w:val="000000" w:themeColor="text1"/>
      <w:sz w:val="70"/>
      <w:szCs w:val="32"/>
    </w:rPr>
  </w:style>
  <w:style w:type="paragraph" w:styleId="Kop2">
    <w:name w:val="heading 2"/>
    <w:basedOn w:val="Standaard"/>
    <w:next w:val="Standaard"/>
    <w:link w:val="Kop2Char"/>
    <w:uiPriority w:val="9"/>
    <w:unhideWhenUsed/>
    <w:qFormat/>
    <w:rsid w:val="005554E0"/>
    <w:pPr>
      <w:keepNext/>
      <w:keepLines/>
      <w:spacing w:before="40"/>
      <w:outlineLvl w:val="1"/>
    </w:pPr>
    <w:rPr>
      <w:rFonts w:eastAsiaTheme="majorEastAsia" w:cstheme="majorBidi"/>
      <w:b/>
      <w:color w:val="000000" w:themeColor="text1"/>
      <w:sz w:val="48"/>
      <w:szCs w:val="26"/>
    </w:rPr>
  </w:style>
  <w:style w:type="paragraph" w:styleId="Kop3">
    <w:name w:val="heading 3"/>
    <w:basedOn w:val="Standaard"/>
    <w:next w:val="Standaard"/>
    <w:link w:val="Kop3Char"/>
    <w:uiPriority w:val="9"/>
    <w:unhideWhenUsed/>
    <w:qFormat/>
    <w:rsid w:val="005554E0"/>
    <w:pPr>
      <w:keepNext/>
      <w:keepLines/>
      <w:spacing w:before="40"/>
      <w:outlineLvl w:val="2"/>
    </w:pPr>
    <w:rPr>
      <w:rFonts w:eastAsiaTheme="majorEastAsia" w:cstheme="majorBidi"/>
      <w:b/>
      <w:color w:val="000000" w:themeColor="text1"/>
      <w:sz w:val="28"/>
    </w:rPr>
  </w:style>
  <w:style w:type="paragraph" w:styleId="Kop4">
    <w:name w:val="heading 4"/>
    <w:basedOn w:val="Standaard"/>
    <w:next w:val="Standaard"/>
    <w:link w:val="Kop4Char"/>
    <w:uiPriority w:val="9"/>
    <w:unhideWhenUsed/>
    <w:qFormat/>
    <w:rsid w:val="005554E0"/>
    <w:pPr>
      <w:keepNext/>
      <w:keepLines/>
      <w:spacing w:before="40"/>
      <w:outlineLvl w:val="3"/>
    </w:pPr>
    <w:rPr>
      <w:rFonts w:eastAsiaTheme="majorEastAsia" w:cstheme="majorBidi"/>
      <w:b/>
      <w:iCs/>
      <w:color w:val="000000" w:themeColor="text1"/>
      <w:sz w:val="26"/>
    </w:rPr>
  </w:style>
  <w:style w:type="paragraph" w:styleId="Kop5">
    <w:name w:val="heading 5"/>
    <w:basedOn w:val="Standaard"/>
    <w:next w:val="Standaard"/>
    <w:link w:val="Kop5Char"/>
    <w:uiPriority w:val="9"/>
    <w:semiHidden/>
    <w:unhideWhenUsed/>
    <w:qFormat/>
    <w:rsid w:val="005554E0"/>
    <w:pPr>
      <w:keepNext/>
      <w:keepLines/>
      <w:spacing w:before="40"/>
      <w:outlineLvl w:val="4"/>
    </w:pPr>
    <w:rPr>
      <w:rFonts w:eastAsiaTheme="majorEastAsia" w:cstheme="majorBidi"/>
      <w:b/>
      <w:color w:val="000000" w:themeColor="tex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qFormat/>
    <w:rsid w:val="005554E0"/>
    <w:rPr>
      <w:rFonts w:eastAsiaTheme="majorEastAsia" w:cstheme="majorBidi"/>
      <w:b/>
      <w:color w:val="000000" w:themeColor="text1"/>
      <w:sz w:val="70"/>
      <w:szCs w:val="32"/>
    </w:rPr>
  </w:style>
  <w:style w:type="character" w:customStyle="1" w:styleId="Kop2Char">
    <w:name w:val="Kop 2 Char"/>
    <w:basedOn w:val="Standaardalinea-lettertype"/>
    <w:link w:val="Kop2"/>
    <w:uiPriority w:val="9"/>
    <w:qFormat/>
    <w:rsid w:val="005554E0"/>
    <w:rPr>
      <w:rFonts w:eastAsiaTheme="majorEastAsia" w:cstheme="majorBidi"/>
      <w:b/>
      <w:color w:val="000000" w:themeColor="text1"/>
      <w:sz w:val="48"/>
      <w:szCs w:val="26"/>
    </w:rPr>
  </w:style>
  <w:style w:type="character" w:customStyle="1" w:styleId="TitelChar">
    <w:name w:val="Titel Char"/>
    <w:basedOn w:val="Standaardalinea-lettertype"/>
    <w:link w:val="Titel"/>
    <w:uiPriority w:val="10"/>
    <w:qFormat/>
    <w:rsid w:val="005554E0"/>
    <w:rPr>
      <w:rFonts w:eastAsiaTheme="majorEastAsia" w:cstheme="majorBidi"/>
      <w:b/>
      <w:spacing w:val="-10"/>
      <w:kern w:val="2"/>
      <w:sz w:val="70"/>
      <w:szCs w:val="56"/>
    </w:rPr>
  </w:style>
  <w:style w:type="character" w:customStyle="1" w:styleId="Kop3Char">
    <w:name w:val="Kop 3 Char"/>
    <w:basedOn w:val="Standaardalinea-lettertype"/>
    <w:link w:val="Kop3"/>
    <w:uiPriority w:val="9"/>
    <w:qFormat/>
    <w:rsid w:val="005554E0"/>
    <w:rPr>
      <w:rFonts w:eastAsiaTheme="majorEastAsia" w:cstheme="majorBidi"/>
      <w:b/>
      <w:color w:val="000000" w:themeColor="text1"/>
      <w:sz w:val="28"/>
    </w:rPr>
  </w:style>
  <w:style w:type="character" w:customStyle="1" w:styleId="Kop4Char">
    <w:name w:val="Kop 4 Char"/>
    <w:basedOn w:val="Standaardalinea-lettertype"/>
    <w:link w:val="Kop4"/>
    <w:uiPriority w:val="9"/>
    <w:qFormat/>
    <w:rsid w:val="005554E0"/>
    <w:rPr>
      <w:rFonts w:eastAsiaTheme="majorEastAsia" w:cstheme="majorBidi"/>
      <w:b/>
      <w:iCs/>
      <w:color w:val="000000" w:themeColor="text1"/>
      <w:sz w:val="26"/>
    </w:rPr>
  </w:style>
  <w:style w:type="character" w:customStyle="1" w:styleId="Kop5Char">
    <w:name w:val="Kop 5 Char"/>
    <w:basedOn w:val="Standaardalinea-lettertype"/>
    <w:link w:val="Kop5"/>
    <w:uiPriority w:val="9"/>
    <w:semiHidden/>
    <w:qFormat/>
    <w:rsid w:val="005554E0"/>
    <w:rPr>
      <w:rFonts w:eastAsiaTheme="majorEastAsia" w:cstheme="majorBidi"/>
      <w:b/>
      <w:color w:val="000000" w:themeColor="text1"/>
    </w:rPr>
  </w:style>
  <w:style w:type="character" w:customStyle="1" w:styleId="ArticleLevel1Char">
    <w:name w:val="Article Level 1 Char"/>
    <w:basedOn w:val="Standaardalinea-lettertype"/>
    <w:link w:val="ArticleLevel1"/>
    <w:qFormat/>
    <w:rsid w:val="0016304C"/>
    <w:rPr>
      <w:b/>
      <w:bCs/>
      <w:lang w:val="nl-NL"/>
    </w:rPr>
  </w:style>
  <w:style w:type="character" w:customStyle="1" w:styleId="ArticleLevel2Char">
    <w:name w:val="Article Level 2 Char"/>
    <w:basedOn w:val="Standaardalinea-lettertype"/>
    <w:link w:val="ArticleLevel2"/>
    <w:qFormat/>
    <w:rsid w:val="00341C1E"/>
    <w:rPr>
      <w:lang w:val="nl-NL"/>
    </w:rPr>
  </w:style>
  <w:style w:type="character" w:customStyle="1" w:styleId="InternetLink">
    <w:name w:val="Internet Link"/>
    <w:uiPriority w:val="99"/>
    <w:unhideWhenUsed/>
    <w:qFormat/>
    <w:rsid w:val="00384242"/>
    <w:rPr>
      <w:color w:val="0563C1" w:themeColor="hyperlink"/>
      <w:u w:val="single"/>
    </w:rPr>
  </w:style>
  <w:style w:type="character" w:customStyle="1" w:styleId="Links">
    <w:name w:val="Links"/>
    <w:basedOn w:val="InternetLink"/>
    <w:uiPriority w:val="1"/>
    <w:qFormat/>
    <w:rsid w:val="0035195F"/>
    <w:rPr>
      <w:color w:val="0563C1" w:themeColor="hyperlink"/>
      <w:u w:val="single"/>
      <w:lang w:val="nl-NL"/>
    </w:rPr>
  </w:style>
  <w:style w:type="character" w:customStyle="1" w:styleId="DefaultParagraphFontPHPDOCX">
    <w:name w:val="Default Paragraph Font PHPDOCX"/>
    <w:uiPriority w:val="1"/>
    <w:semiHidden/>
    <w:unhideWhenUsed/>
    <w:qFormat/>
  </w:style>
  <w:style w:type="character" w:customStyle="1" w:styleId="TitleCarPHPDOCX">
    <w:name w:val="Title Car PHPDOCX"/>
    <w:basedOn w:val="DefaultParagraphFontPHPDOCX"/>
    <w:link w:val="TitlePHPDOCX"/>
    <w:uiPriority w:val="10"/>
    <w:qFormat/>
    <w:rsid w:val="00DF064E"/>
    <w:rPr>
      <w:rFonts w:asciiTheme="majorHAnsi" w:eastAsiaTheme="majorEastAsia" w:hAnsiTheme="majorHAnsi" w:cstheme="majorBidi"/>
      <w:color w:val="323E4F" w:themeColor="text2" w:themeShade="BF"/>
      <w:spacing w:val="5"/>
      <w:kern w:val="2"/>
      <w:sz w:val="52"/>
      <w:szCs w:val="52"/>
    </w:rPr>
  </w:style>
  <w:style w:type="character" w:customStyle="1" w:styleId="SubtitleCarPHPDOCX">
    <w:name w:val="Subtitle Car PHPDOCX"/>
    <w:basedOn w:val="DefaultParagraphFontPHPDOCX"/>
    <w:link w:val="SubtitlePHPDOCX"/>
    <w:uiPriority w:val="11"/>
    <w:qFormat/>
    <w:rsid w:val="00DF064E"/>
    <w:rPr>
      <w:rFonts w:asciiTheme="majorHAnsi" w:eastAsiaTheme="majorEastAsia" w:hAnsiTheme="majorHAnsi" w:cstheme="majorBidi"/>
      <w:i/>
      <w:iCs/>
      <w:color w:val="4472C4" w:themeColor="accent1"/>
      <w:spacing w:val="15"/>
      <w:sz w:val="24"/>
      <w:szCs w:val="24"/>
    </w:rPr>
  </w:style>
  <w:style w:type="character" w:customStyle="1" w:styleId="annotationreferencePHPDOCX">
    <w:name w:val="annotation reference PHPDOCX"/>
    <w:basedOn w:val="DefaultParagraphFontPHPDOCX"/>
    <w:uiPriority w:val="99"/>
    <w:semiHidden/>
    <w:unhideWhenUsed/>
    <w:qFormat/>
    <w:rsid w:val="00E139EA"/>
    <w:rPr>
      <w:sz w:val="16"/>
      <w:szCs w:val="16"/>
    </w:rPr>
  </w:style>
  <w:style w:type="character" w:customStyle="1" w:styleId="CommentTextCharPHPDOCX">
    <w:name w:val="Comment Text Char PHPDOCX"/>
    <w:basedOn w:val="DefaultParagraphFontPHPDOCX"/>
    <w:link w:val="annotationtextPHPDOCX"/>
    <w:uiPriority w:val="99"/>
    <w:semiHidden/>
    <w:qFormat/>
    <w:rsid w:val="00E139EA"/>
    <w:rPr>
      <w:sz w:val="20"/>
      <w:szCs w:val="20"/>
    </w:rPr>
  </w:style>
  <w:style w:type="character" w:customStyle="1" w:styleId="CommentSubjectCharPHPDOCX">
    <w:name w:val="Comment Subject Char PHPDOCX"/>
    <w:basedOn w:val="CommentTextCharPHPDOCX"/>
    <w:link w:val="annotationsubjectPHPDOCX"/>
    <w:uiPriority w:val="99"/>
    <w:semiHidden/>
    <w:qFormat/>
    <w:rsid w:val="00E139EA"/>
    <w:rPr>
      <w:b/>
      <w:bCs/>
      <w:sz w:val="20"/>
      <w:szCs w:val="20"/>
    </w:rPr>
  </w:style>
  <w:style w:type="character" w:customStyle="1" w:styleId="BalloonTextCharPHPDOCX">
    <w:name w:val="Balloon Text Char PHPDOCX"/>
    <w:basedOn w:val="DefaultParagraphFontPHPDOCX"/>
    <w:link w:val="BalloonTextPHPDOCX"/>
    <w:uiPriority w:val="99"/>
    <w:semiHidden/>
    <w:qFormat/>
    <w:rsid w:val="00E139EA"/>
    <w:rPr>
      <w:rFonts w:ascii="Tahoma" w:hAnsi="Tahoma" w:cs="Tahoma"/>
      <w:sz w:val="16"/>
      <w:szCs w:val="16"/>
    </w:rPr>
  </w:style>
  <w:style w:type="character" w:customStyle="1" w:styleId="footnoteTextCarPHPDOCX">
    <w:name w:val="footnote Text Car PHPDOCX"/>
    <w:basedOn w:val="DefaultParagraphFontPHPDOCX"/>
    <w:uiPriority w:val="99"/>
    <w:semiHidden/>
    <w:qFormat/>
    <w:rsid w:val="006E0FDA"/>
    <w:rPr>
      <w:sz w:val="20"/>
      <w:szCs w:val="20"/>
    </w:rPr>
  </w:style>
  <w:style w:type="character" w:customStyle="1" w:styleId="footnoteReferencePHPDOCX">
    <w:name w:val="footnote Reference PHPDOCX"/>
    <w:basedOn w:val="DefaultParagraphFontPHPDOCX"/>
    <w:uiPriority w:val="99"/>
    <w:semiHidden/>
    <w:unhideWhenUsed/>
    <w:qFormat/>
    <w:rsid w:val="006E0FDA"/>
    <w:rPr>
      <w:vertAlign w:val="superscript"/>
    </w:rPr>
  </w:style>
  <w:style w:type="character" w:customStyle="1" w:styleId="endnoteTextCarPHPDOCX">
    <w:name w:val="endnote Text Car PHPDOCX"/>
    <w:basedOn w:val="DefaultParagraphFontPHPDOCX"/>
    <w:uiPriority w:val="99"/>
    <w:semiHidden/>
    <w:qFormat/>
    <w:rsid w:val="006E0FDA"/>
    <w:rPr>
      <w:sz w:val="20"/>
      <w:szCs w:val="20"/>
    </w:rPr>
  </w:style>
  <w:style w:type="character" w:customStyle="1" w:styleId="endnoteReferencePHPDOCX">
    <w:name w:val="endnote Reference PHPDOCX"/>
    <w:basedOn w:val="DefaultParagraphFontPHPDOCX"/>
    <w:uiPriority w:val="99"/>
    <w:semiHidden/>
    <w:unhideWhenUsed/>
    <w:qFormat/>
    <w:rsid w:val="006E0FDA"/>
    <w:rPr>
      <w:vertAlign w:val="superscript"/>
    </w:rPr>
  </w:style>
  <w:style w:type="character" w:customStyle="1" w:styleId="ListLabel1">
    <w:name w:val="ListLabel 1"/>
    <w:qFormat/>
    <w:rPr>
      <w:b/>
      <w:bCs/>
    </w:rPr>
  </w:style>
  <w:style w:type="character" w:customStyle="1" w:styleId="ListLabel2">
    <w:name w:val="ListLabel 2"/>
    <w:qFormat/>
    <w:rPr>
      <w:b/>
      <w:bCs/>
    </w:rPr>
  </w:style>
  <w:style w:type="character" w:customStyle="1" w:styleId="ListLabel3">
    <w:name w:val="ListLabel 3"/>
    <w:qFormat/>
    <w:rPr>
      <w:b/>
      <w:bCs/>
    </w:rPr>
  </w:style>
  <w:style w:type="character" w:customStyle="1" w:styleId="ListLabel4">
    <w:name w:val="ListLabel 4"/>
    <w:qFormat/>
    <w:rPr>
      <w:b/>
      <w:bCs/>
    </w:rPr>
  </w:style>
  <w:style w:type="character" w:customStyle="1" w:styleId="ListLabel5">
    <w:name w:val="ListLabel 5"/>
    <w:qFormat/>
    <w:rPr>
      <w:b/>
      <w:bCs/>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paragraph" w:customStyle="1" w:styleId="Heading">
    <w:name w:val="Heading"/>
    <w:basedOn w:val="Standaard"/>
    <w:next w:val="Plattetekst"/>
    <w:qFormat/>
    <w:pPr>
      <w:keepNext/>
      <w:spacing w:before="240" w:after="120"/>
    </w:pPr>
    <w:rPr>
      <w:rFonts w:ascii="Liberation Sans" w:eastAsia="DejaVu Sans" w:hAnsi="Liberation Sans" w:cs="DejaVu Sans"/>
      <w:sz w:val="28"/>
      <w:szCs w:val="28"/>
    </w:rPr>
  </w:style>
  <w:style w:type="paragraph" w:styleId="Plattetekst">
    <w:name w:val="Body Text"/>
    <w:basedOn w:val="Standaard"/>
    <w:pPr>
      <w:spacing w:after="140" w:line="276" w:lineRule="auto"/>
    </w:pPr>
  </w:style>
  <w:style w:type="paragraph" w:styleId="Lijst">
    <w:name w:val="List"/>
    <w:basedOn w:val="Plattetekst"/>
  </w:style>
  <w:style w:type="paragraph" w:styleId="Bijschrift">
    <w:name w:val="caption"/>
    <w:basedOn w:val="Standaard"/>
    <w:qFormat/>
    <w:pPr>
      <w:suppressLineNumbers/>
      <w:spacing w:before="120" w:after="120"/>
    </w:pPr>
    <w:rPr>
      <w:i/>
      <w:iCs/>
    </w:rPr>
  </w:style>
  <w:style w:type="paragraph" w:customStyle="1" w:styleId="Index">
    <w:name w:val="Index"/>
    <w:basedOn w:val="Standaard"/>
    <w:qFormat/>
    <w:pPr>
      <w:suppressLineNumbers/>
    </w:pPr>
  </w:style>
  <w:style w:type="paragraph" w:styleId="Titel">
    <w:name w:val="Title"/>
    <w:basedOn w:val="Standaard"/>
    <w:next w:val="Standaard"/>
    <w:link w:val="TitelChar"/>
    <w:uiPriority w:val="10"/>
    <w:qFormat/>
    <w:rsid w:val="005554E0"/>
    <w:pPr>
      <w:spacing w:line="240" w:lineRule="auto"/>
      <w:contextualSpacing/>
    </w:pPr>
    <w:rPr>
      <w:rFonts w:eastAsiaTheme="majorEastAsia" w:cstheme="majorBidi"/>
      <w:b/>
      <w:spacing w:val="-10"/>
      <w:kern w:val="2"/>
      <w:sz w:val="70"/>
      <w:szCs w:val="56"/>
    </w:rPr>
  </w:style>
  <w:style w:type="paragraph" w:styleId="Geenafstand">
    <w:name w:val="No Spacing"/>
    <w:uiPriority w:val="1"/>
    <w:qFormat/>
    <w:rsid w:val="00D82EA7"/>
  </w:style>
  <w:style w:type="paragraph" w:customStyle="1" w:styleId="ArticleLevel1">
    <w:name w:val="Article Level 1"/>
    <w:basedOn w:val="Standaard"/>
    <w:next w:val="ArticleLevel2"/>
    <w:link w:val="ArticleLevel1Char"/>
    <w:qFormat/>
    <w:rsid w:val="0016304C"/>
    <w:rPr>
      <w:b/>
      <w:bCs/>
    </w:rPr>
  </w:style>
  <w:style w:type="paragraph" w:customStyle="1" w:styleId="ArticleLevel2">
    <w:name w:val="Article Level 2"/>
    <w:basedOn w:val="Standaard"/>
    <w:link w:val="ArticleLevel2Char"/>
    <w:qFormat/>
    <w:rsid w:val="00341C1E"/>
    <w:pPr>
      <w:ind w:left="1418" w:hanging="1418"/>
    </w:pPr>
  </w:style>
  <w:style w:type="paragraph" w:styleId="Lijstalinea">
    <w:name w:val="List Paragraph"/>
    <w:basedOn w:val="Standaard"/>
    <w:uiPriority w:val="34"/>
    <w:qFormat/>
    <w:rsid w:val="0016304C"/>
    <w:pPr>
      <w:ind w:left="720"/>
      <w:contextualSpacing/>
    </w:pPr>
  </w:style>
  <w:style w:type="paragraph" w:customStyle="1" w:styleId="ArticleLevel3">
    <w:name w:val="Article Level 3"/>
    <w:basedOn w:val="Standaard"/>
    <w:next w:val="ArticleLevel4"/>
    <w:qFormat/>
    <w:rsid w:val="009818D2"/>
    <w:pPr>
      <w:ind w:left="1418" w:hanging="1418"/>
    </w:pPr>
  </w:style>
  <w:style w:type="paragraph" w:customStyle="1" w:styleId="ArticleLevel4">
    <w:name w:val="Article Level 4"/>
    <w:basedOn w:val="Standaard"/>
    <w:qFormat/>
    <w:rsid w:val="009818D2"/>
    <w:pPr>
      <w:ind w:left="1418" w:hanging="1418"/>
    </w:pPr>
  </w:style>
  <w:style w:type="paragraph" w:customStyle="1" w:styleId="ArticleLevel5">
    <w:name w:val="Article Level 5"/>
    <w:basedOn w:val="Standaard"/>
    <w:qFormat/>
    <w:rsid w:val="009818D2"/>
    <w:pPr>
      <w:ind w:left="1843" w:hanging="425"/>
    </w:pPr>
  </w:style>
  <w:style w:type="paragraph" w:customStyle="1" w:styleId="ArticleLevel6">
    <w:name w:val="Article Level 6"/>
    <w:basedOn w:val="Standaard"/>
    <w:qFormat/>
    <w:rsid w:val="00380DE6"/>
    <w:pPr>
      <w:tabs>
        <w:tab w:val="left" w:pos="851"/>
      </w:tabs>
      <w:ind w:left="1843" w:hanging="425"/>
    </w:pPr>
  </w:style>
  <w:style w:type="paragraph" w:customStyle="1" w:styleId="ListParagraphPHPDOCX">
    <w:name w:val="List Paragraph PHPDOCX"/>
    <w:basedOn w:val="Standaard"/>
    <w:uiPriority w:val="34"/>
    <w:qFormat/>
    <w:rsid w:val="00DF064E"/>
    <w:pPr>
      <w:ind w:left="720"/>
      <w:contextualSpacing/>
    </w:pPr>
  </w:style>
  <w:style w:type="paragraph" w:customStyle="1" w:styleId="TitlePHPDOCX">
    <w:name w:val="Title PHPDOCX"/>
    <w:basedOn w:val="Standaard"/>
    <w:next w:val="Standaard"/>
    <w:link w:val="TitleCarPHPDOCX"/>
    <w:uiPriority w:val="10"/>
    <w:qFormat/>
    <w:rsid w:val="00DF064E"/>
    <w:pPr>
      <w:pBdr>
        <w:bottom w:val="single" w:sz="8" w:space="4" w:color="4F81BD"/>
      </w:pBdr>
      <w:spacing w:after="300" w:line="240" w:lineRule="auto"/>
      <w:contextualSpacing/>
    </w:pPr>
    <w:rPr>
      <w:rFonts w:asciiTheme="majorHAnsi" w:eastAsiaTheme="majorEastAsia" w:hAnsiTheme="majorHAnsi" w:cstheme="majorBidi"/>
      <w:color w:val="323E4F" w:themeColor="text2" w:themeShade="BF"/>
      <w:spacing w:val="5"/>
      <w:kern w:val="2"/>
      <w:sz w:val="52"/>
      <w:szCs w:val="52"/>
    </w:rPr>
  </w:style>
  <w:style w:type="paragraph" w:customStyle="1" w:styleId="SubtitlePHPDOCX">
    <w:name w:val="Subtitle PHPDOCX"/>
    <w:basedOn w:val="Standaard"/>
    <w:next w:val="Standaard"/>
    <w:link w:val="SubtitleCarPHPDOCX"/>
    <w:uiPriority w:val="11"/>
    <w:qFormat/>
    <w:rsid w:val="00DF064E"/>
    <w:rPr>
      <w:rFonts w:asciiTheme="majorHAnsi" w:eastAsiaTheme="majorEastAsia" w:hAnsiTheme="majorHAnsi" w:cstheme="majorBidi"/>
      <w:i/>
      <w:iCs/>
      <w:color w:val="4472C4" w:themeColor="accent1"/>
      <w:spacing w:val="15"/>
    </w:rPr>
  </w:style>
  <w:style w:type="paragraph" w:customStyle="1" w:styleId="annotationtextPHPDOCX">
    <w:name w:val="annotation text PHPDOCX"/>
    <w:basedOn w:val="Standaard"/>
    <w:link w:val="CommentTextCharPHPDOCX"/>
    <w:uiPriority w:val="99"/>
    <w:semiHidden/>
    <w:unhideWhenUsed/>
    <w:qFormat/>
    <w:rsid w:val="00E139EA"/>
    <w:pPr>
      <w:spacing w:line="240" w:lineRule="auto"/>
    </w:pPr>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qFormat/>
    <w:rsid w:val="00E139EA"/>
    <w:rPr>
      <w:b/>
      <w:bCs/>
    </w:rPr>
  </w:style>
  <w:style w:type="paragraph" w:customStyle="1" w:styleId="BalloonTextPHPDOCX">
    <w:name w:val="Balloon Text PHPDOCX"/>
    <w:basedOn w:val="Standaard"/>
    <w:link w:val="BalloonTextCharPHPDOCX"/>
    <w:uiPriority w:val="99"/>
    <w:semiHidden/>
    <w:unhideWhenUsed/>
    <w:qFormat/>
    <w:rsid w:val="00E139EA"/>
    <w:pPr>
      <w:spacing w:line="240" w:lineRule="auto"/>
    </w:pPr>
    <w:rPr>
      <w:rFonts w:ascii="Tahoma" w:hAnsi="Tahoma" w:cs="Tahoma"/>
      <w:sz w:val="16"/>
      <w:szCs w:val="16"/>
    </w:rPr>
  </w:style>
  <w:style w:type="paragraph" w:customStyle="1" w:styleId="footnoteTextPHPDOCX">
    <w:name w:val="footnote Text PHPDOCX"/>
    <w:basedOn w:val="Standaard"/>
    <w:uiPriority w:val="99"/>
    <w:semiHidden/>
    <w:unhideWhenUsed/>
    <w:qFormat/>
    <w:rsid w:val="006E0FDA"/>
    <w:pPr>
      <w:spacing w:line="240" w:lineRule="auto"/>
    </w:pPr>
    <w:rPr>
      <w:sz w:val="20"/>
      <w:szCs w:val="20"/>
    </w:rPr>
  </w:style>
  <w:style w:type="paragraph" w:customStyle="1" w:styleId="endnoteTextPHPDOCX">
    <w:name w:val="endnote Text PHPDOCX"/>
    <w:basedOn w:val="Standaard"/>
    <w:uiPriority w:val="99"/>
    <w:semiHidden/>
    <w:unhideWhenUsed/>
    <w:qFormat/>
    <w:rsid w:val="006E0FDA"/>
    <w:pPr>
      <w:spacing w:line="240" w:lineRule="auto"/>
    </w:pPr>
    <w:rPr>
      <w:sz w:val="20"/>
      <w:szCs w:val="20"/>
    </w:rPr>
  </w:style>
  <w:style w:type="paragraph" w:styleId="Voettekst">
    <w:name w:val="footer"/>
    <w:basedOn w:val="Standaard"/>
  </w:style>
  <w:style w:type="table" w:styleId="Tabelraster">
    <w:name w:val="Table Grid"/>
    <w:basedOn w:val="Standaardtabel"/>
    <w:uiPriority w:val="39"/>
    <w:rsid w:val="00140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op1TimesNewRoman12pt">
    <w:name w:val="Kop 1 + Times New Roman 12 pt"/>
    <w:basedOn w:val="Kop1"/>
    <w:link w:val="Kop1TimesNewRoman12ptChar"/>
    <w:rsid w:val="004632DA"/>
    <w:pPr>
      <w:keepLines w:val="0"/>
      <w:spacing w:after="60" w:line="240" w:lineRule="auto"/>
    </w:pPr>
    <w:rPr>
      <w:rFonts w:ascii="Calibri" w:eastAsia="Times New Roman" w:hAnsi="Calibri" w:cs="Times New Roman"/>
      <w:bCs/>
      <w:color w:val="auto"/>
      <w:kern w:val="28"/>
      <w:sz w:val="24"/>
      <w:szCs w:val="20"/>
      <w:lang w:eastAsia="nl-NL"/>
    </w:rPr>
  </w:style>
  <w:style w:type="character" w:customStyle="1" w:styleId="Kop1TimesNewRoman12ptChar">
    <w:name w:val="Kop 1 + Times New Roman 12 pt Char"/>
    <w:link w:val="Kop1TimesNewRoman12pt"/>
    <w:rsid w:val="004632DA"/>
    <w:rPr>
      <w:rFonts w:ascii="Calibri" w:eastAsia="Times New Roman" w:hAnsi="Calibri" w:cs="Times New Roman"/>
      <w:b/>
      <w:bCs/>
      <w:kern w:val="28"/>
      <w:szCs w:val="20"/>
      <w:lang w:eastAsia="nl-NL"/>
    </w:rPr>
  </w:style>
  <w:style w:type="paragraph" w:styleId="Ballontekst">
    <w:name w:val="Balloon Text"/>
    <w:basedOn w:val="Standaard"/>
    <w:link w:val="BallontekstChar"/>
    <w:uiPriority w:val="99"/>
    <w:semiHidden/>
    <w:unhideWhenUsed/>
    <w:rsid w:val="00065120"/>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651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4" ma:contentTypeDescription="Een nieuw document maken." ma:contentTypeScope="" ma:versionID="846415a88ad3333fe3de7cb3753a807f">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804635ca8f244c2a2049ff06d5398f47"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0D8232-A61B-4AD0-8486-24336AE77F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A4B057-F025-4DFE-A012-38060689F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8699ed-b0bb-4314-a950-7636bf7a902d"/>
    <ds:schemaRef ds:uri="df334da4-c630-45b1-95f0-858e998e8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ED93F0-D20C-46BA-A623-72D3F830D1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940</Words>
  <Characters>5172</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Overeenkomst ten behoeve van ICT Prestatie</vt:lpstr>
    </vt:vector>
  </TitlesOfParts>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ten behoeve van ICT Prestatie</dc:title>
  <dc:subject/>
  <dc:creator>Ruben Kip</dc:creator>
  <dc:description/>
  <cp:lastModifiedBy>Thijs Somhorst</cp:lastModifiedBy>
  <cp:revision>3</cp:revision>
  <dcterms:created xsi:type="dcterms:W3CDTF">2020-08-24T19:25:00Z</dcterms:created>
  <dcterms:modified xsi:type="dcterms:W3CDTF">2020-08-26T08:52:00Z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0x010100C2DD255881D5E446A776E017924A58F3</vt:lpwstr>
  </property>
</Properties>
</file>